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75F" w:rsidRPr="006864AF" w:rsidRDefault="00907B5F" w:rsidP="00907B5F">
      <w:pPr>
        <w:pStyle w:val="1"/>
        <w:shd w:val="clear" w:color="auto" w:fill="FFFFFF"/>
        <w:spacing w:before="0" w:beforeAutospacing="0" w:after="0" w:afterAutospacing="0" w:line="360" w:lineRule="atLeast"/>
        <w:jc w:val="center"/>
        <w:rPr>
          <w:rFonts w:ascii="Bookman Old Style" w:hAnsi="Bookman Old Style"/>
          <w:color w:val="FFFF00"/>
          <w:sz w:val="27"/>
          <w:szCs w:val="27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</w:pPr>
      <w:r>
        <w:fldChar w:fldCharType="begin"/>
      </w:r>
      <w:r>
        <w:instrText xml:space="preserve"> HYPERLINK "http://dnz6.edu.vn.ua/dlya-dopitlivix-malyat/295-rezultaty-monitoryngu-jakosti-osvity-.html" </w:instrText>
      </w:r>
      <w:r>
        <w:fldChar w:fldCharType="separate"/>
      </w:r>
      <w:r w:rsidR="00A7775F" w:rsidRPr="006864AF">
        <w:rPr>
          <w:rStyle w:val="a3"/>
          <w:rFonts w:ascii="Bookman Old Style" w:hAnsi="Bookman Old Style"/>
          <w:color w:val="FFFF00"/>
          <w:sz w:val="27"/>
          <w:szCs w:val="27"/>
          <w:u w:val="non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t>РЕЗУЛЬТАТИ МОНІТОРИНГУ ЯКОСТІ ОСВІТИ</w:t>
      </w:r>
      <w:r>
        <w:rPr>
          <w:rStyle w:val="a3"/>
          <w:rFonts w:ascii="Bookman Old Style" w:hAnsi="Bookman Old Style"/>
          <w:color w:val="FFFF00"/>
          <w:sz w:val="27"/>
          <w:szCs w:val="27"/>
          <w:u w:val="none"/>
          <w14:shadow w14:blurRad="25501" w14:dist="22999" w14:dir="7020000" w14:sx="100000" w14:sy="100000" w14:kx="0" w14:ky="0" w14:algn="tl">
            <w14:srgbClr w14:val="000000">
              <w14:alpha w14:val="50000"/>
            </w14:srgbClr>
          </w14:shadow>
          <w14:textOutline w14:w="9004" w14:cap="flat" w14:cmpd="sng" w14:algn="ctr">
            <w14:solidFill>
              <w14:schemeClr w14:val="accent2">
                <w14:satMod w14:val="140000"/>
              </w14:schemeClr>
            </w14:solidFill>
            <w14:prstDash w14:val="solid"/>
            <w14:miter w14:lim="0"/>
          </w14:textOutline>
        </w:rPr>
        <w:fldChar w:fldCharType="end"/>
      </w:r>
    </w:p>
    <w:p w:rsidR="006864AF" w:rsidRDefault="006864AF" w:rsidP="006864A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:rsidR="00070C67" w:rsidRPr="006864AF" w:rsidRDefault="006864AF" w:rsidP="006864A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70C67" w:rsidRPr="006864AF">
        <w:rPr>
          <w:rFonts w:ascii="Times New Roman" w:hAnsi="Times New Roman" w:cs="Times New Roman"/>
          <w:sz w:val="28"/>
          <w:szCs w:val="28"/>
        </w:rPr>
        <w:t xml:space="preserve"> 201</w:t>
      </w:r>
      <w:r w:rsidR="00070C67" w:rsidRPr="006864AF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70C67" w:rsidRPr="006864AF">
        <w:rPr>
          <w:rFonts w:ascii="Times New Roman" w:hAnsi="Times New Roman" w:cs="Times New Roman"/>
          <w:sz w:val="28"/>
          <w:szCs w:val="28"/>
        </w:rPr>
        <w:t xml:space="preserve"> році до школи </w:t>
      </w:r>
      <w:r>
        <w:rPr>
          <w:rFonts w:ascii="Times New Roman" w:hAnsi="Times New Roman" w:cs="Times New Roman"/>
          <w:sz w:val="28"/>
          <w:szCs w:val="28"/>
          <w:lang w:val="uk-UA"/>
        </w:rPr>
        <w:t>підготовлено</w:t>
      </w:r>
      <w:r w:rsidR="00070C67" w:rsidRPr="006864AF">
        <w:rPr>
          <w:rFonts w:ascii="Times New Roman" w:hAnsi="Times New Roman" w:cs="Times New Roman"/>
          <w:sz w:val="28"/>
          <w:szCs w:val="28"/>
          <w:lang w:val="uk-UA"/>
        </w:rPr>
        <w:t xml:space="preserve"> 88</w:t>
      </w:r>
      <w:r w:rsidR="00070C67" w:rsidRPr="006864AF">
        <w:rPr>
          <w:rFonts w:ascii="Times New Roman" w:hAnsi="Times New Roman" w:cs="Times New Roman"/>
          <w:sz w:val="28"/>
          <w:szCs w:val="28"/>
        </w:rPr>
        <w:t xml:space="preserve"> випускник</w:t>
      </w:r>
      <w:r w:rsidR="00070C67" w:rsidRPr="006864AF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070C67" w:rsidRPr="006864AF">
        <w:rPr>
          <w:rFonts w:ascii="Times New Roman" w:hAnsi="Times New Roman" w:cs="Times New Roman"/>
          <w:sz w:val="28"/>
          <w:szCs w:val="28"/>
        </w:rPr>
        <w:t xml:space="preserve">ДНЗ. Вихователі старших груп </w:t>
      </w:r>
      <w:r w:rsidR="00070C67" w:rsidRPr="006864AF">
        <w:rPr>
          <w:rFonts w:ascii="Times New Roman" w:hAnsi="Times New Roman" w:cs="Times New Roman"/>
          <w:sz w:val="28"/>
          <w:szCs w:val="28"/>
          <w:lang w:val="uk-UA"/>
        </w:rPr>
        <w:t>Борецька С.П., Чорна Т.В., Костецька Д.В., Костюк С.П</w:t>
      </w:r>
      <w:r w:rsidR="00070C67" w:rsidRPr="006864AF">
        <w:rPr>
          <w:rFonts w:ascii="Times New Roman" w:hAnsi="Times New Roman" w:cs="Times New Roman"/>
          <w:sz w:val="28"/>
          <w:szCs w:val="28"/>
        </w:rPr>
        <w:t xml:space="preserve">. належну увагу приділяли розвитку </w:t>
      </w:r>
      <w:proofErr w:type="gramStart"/>
      <w:r w:rsidR="00070C67" w:rsidRPr="006864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070C67" w:rsidRPr="006864AF">
        <w:rPr>
          <w:rFonts w:ascii="Times New Roman" w:hAnsi="Times New Roman" w:cs="Times New Roman"/>
          <w:sz w:val="28"/>
          <w:szCs w:val="28"/>
        </w:rPr>
        <w:t>ізнавальних процесів, зв’язного мовлення, формуванню мотиваційної готовності до навчання в школі.</w:t>
      </w:r>
    </w:p>
    <w:p w:rsidR="00070C67" w:rsidRPr="006864AF" w:rsidRDefault="00070C67" w:rsidP="006864AF">
      <w:pPr>
        <w:pStyle w:val="a6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6864A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6864AF">
        <w:rPr>
          <w:rFonts w:ascii="Times New Roman" w:hAnsi="Times New Roman" w:cs="Times New Roman"/>
          <w:sz w:val="28"/>
          <w:szCs w:val="28"/>
        </w:rPr>
        <w:t xml:space="preserve">ід час перевірки готовності дітей до навчання в школі </w:t>
      </w:r>
      <w:r w:rsidRPr="006864AF">
        <w:rPr>
          <w:rFonts w:ascii="Times New Roman" w:hAnsi="Times New Roman" w:cs="Times New Roman"/>
          <w:sz w:val="28"/>
          <w:szCs w:val="28"/>
          <w:lang w:val="uk-UA"/>
        </w:rPr>
        <w:t>в групі №5 - 4</w:t>
      </w:r>
      <w:r w:rsidRPr="006864AF">
        <w:rPr>
          <w:rFonts w:ascii="Times New Roman" w:hAnsi="Times New Roman" w:cs="Times New Roman"/>
          <w:sz w:val="28"/>
          <w:szCs w:val="28"/>
        </w:rPr>
        <w:t xml:space="preserve">2 % дітей мали високий рівень розвитку, </w:t>
      </w:r>
      <w:r w:rsidRPr="006864AF">
        <w:rPr>
          <w:rFonts w:ascii="Times New Roman" w:hAnsi="Times New Roman" w:cs="Times New Roman"/>
          <w:sz w:val="28"/>
          <w:szCs w:val="28"/>
          <w:lang w:val="uk-UA"/>
        </w:rPr>
        <w:t>46% - достатній рівень розвитку, 1</w:t>
      </w:r>
      <w:r w:rsidRPr="006864AF">
        <w:rPr>
          <w:rFonts w:ascii="Times New Roman" w:hAnsi="Times New Roman" w:cs="Times New Roman"/>
          <w:sz w:val="28"/>
          <w:szCs w:val="28"/>
        </w:rPr>
        <w:t>2 % - середній рівень розвитку</w:t>
      </w:r>
      <w:r w:rsidRPr="006864AF">
        <w:rPr>
          <w:rFonts w:ascii="Times New Roman" w:hAnsi="Times New Roman" w:cs="Times New Roman"/>
          <w:sz w:val="28"/>
          <w:szCs w:val="28"/>
          <w:lang w:val="uk-UA"/>
        </w:rPr>
        <w:t>; в г</w:t>
      </w:r>
      <w:r w:rsidR="006864AF">
        <w:rPr>
          <w:rFonts w:ascii="Times New Roman" w:hAnsi="Times New Roman" w:cs="Times New Roman"/>
          <w:sz w:val="28"/>
          <w:szCs w:val="28"/>
          <w:lang w:val="uk-UA"/>
        </w:rPr>
        <w:t>рупі №6 – 30% дітей мали високи</w:t>
      </w:r>
      <w:r w:rsidRPr="006864AF">
        <w:rPr>
          <w:rFonts w:ascii="Times New Roman" w:hAnsi="Times New Roman" w:cs="Times New Roman"/>
          <w:sz w:val="28"/>
          <w:szCs w:val="28"/>
          <w:lang w:val="uk-UA"/>
        </w:rPr>
        <w:t>й рівень розвитку, 41% - достатній рівень розвитку, 29% - середній рівень розвитку.</w:t>
      </w:r>
    </w:p>
    <w:p w:rsidR="00070C67" w:rsidRDefault="00070C67" w:rsidP="00070C67">
      <w:pPr>
        <w:tabs>
          <w:tab w:val="left" w:pos="6255"/>
        </w:tabs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D38C0" w:rsidRDefault="00DD38C0" w:rsidP="00DD38C0">
      <w:pPr>
        <w:pStyle w:val="a6"/>
        <w:jc w:val="center"/>
        <w:rPr>
          <w:rFonts w:ascii="Monotype Corsiva" w:hAnsi="Monotype Corsiva"/>
          <w:b/>
          <w:color w:val="7030A0"/>
          <w:sz w:val="28"/>
          <w:szCs w:val="28"/>
          <w:lang w:val="uk-UA"/>
        </w:rPr>
        <w:sectPr w:rsidR="00DD38C0" w:rsidSect="00351A1C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DD38C0" w:rsidRPr="00DD38C0" w:rsidRDefault="00DD38C0" w:rsidP="00DD38C0">
      <w:pPr>
        <w:pStyle w:val="a6"/>
        <w:jc w:val="center"/>
        <w:rPr>
          <w:rFonts w:ascii="Monotype Corsiva" w:hAnsi="Monotype Corsiva"/>
          <w:b/>
          <w:color w:val="7030A0"/>
          <w:sz w:val="28"/>
          <w:szCs w:val="28"/>
          <w:lang w:val="uk-UA"/>
        </w:rPr>
      </w:pPr>
      <w:r w:rsidRPr="00DD38C0">
        <w:rPr>
          <w:rFonts w:ascii="Monotype Corsiva" w:hAnsi="Monotype Corsiva"/>
          <w:b/>
          <w:color w:val="7030A0"/>
          <w:sz w:val="28"/>
          <w:szCs w:val="28"/>
          <w:lang w:val="uk-UA"/>
        </w:rPr>
        <w:lastRenderedPageBreak/>
        <w:t>Результати моніторингу готовності до школи вихованців гр. № 5</w:t>
      </w:r>
    </w:p>
    <w:p w:rsidR="00DD38C0" w:rsidRPr="00DD38C0" w:rsidRDefault="00DD38C0" w:rsidP="00DD38C0">
      <w:pPr>
        <w:tabs>
          <w:tab w:val="left" w:pos="6255"/>
        </w:tabs>
        <w:jc w:val="center"/>
        <w:rPr>
          <w:rFonts w:ascii="Times New Roman" w:hAnsi="Times New Roman" w:cs="Times New Roman"/>
          <w:color w:val="7030A0"/>
          <w:sz w:val="24"/>
          <w:szCs w:val="24"/>
          <w:lang w:val="uk-UA"/>
        </w:rPr>
      </w:pPr>
    </w:p>
    <w:p w:rsidR="00DD38C0" w:rsidRPr="00F23FF7" w:rsidRDefault="00DD38C0" w:rsidP="00DD38C0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CD24452" wp14:editId="1993C2CD">
            <wp:extent cx="2400300" cy="1590675"/>
            <wp:effectExtent l="0" t="0" r="19050" b="9525"/>
            <wp:docPr id="31" name="Диаграмма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DD38C0" w:rsidRDefault="00DD38C0" w:rsidP="00DD38C0">
      <w:pPr>
        <w:spacing w:line="236" w:lineRule="auto"/>
        <w:ind w:right="20" w:firstLine="568"/>
        <w:jc w:val="both"/>
        <w:rPr>
          <w:rFonts w:ascii="Times New Roman" w:eastAsia="Times New Roman" w:hAnsi="Times New Roman"/>
          <w:sz w:val="28"/>
          <w:lang w:val="uk-UA"/>
        </w:rPr>
      </w:pPr>
    </w:p>
    <w:p w:rsidR="00DD38C0" w:rsidRDefault="00DD38C0" w:rsidP="00DD38C0">
      <w:pPr>
        <w:spacing w:line="236" w:lineRule="auto"/>
        <w:ind w:right="20" w:firstLine="568"/>
        <w:jc w:val="both"/>
        <w:rPr>
          <w:rFonts w:ascii="Times New Roman" w:eastAsia="Times New Roman" w:hAnsi="Times New Roman"/>
          <w:sz w:val="28"/>
          <w:lang w:val="uk-UA"/>
        </w:rPr>
      </w:pPr>
    </w:p>
    <w:p w:rsidR="00DD38C0" w:rsidRDefault="00DD38C0" w:rsidP="00DD38C0">
      <w:pPr>
        <w:spacing w:line="236" w:lineRule="auto"/>
        <w:ind w:right="20" w:firstLine="568"/>
        <w:jc w:val="both"/>
        <w:rPr>
          <w:rFonts w:ascii="Times New Roman" w:eastAsia="Times New Roman" w:hAnsi="Times New Roman"/>
          <w:sz w:val="28"/>
          <w:lang w:val="uk-UA"/>
        </w:rPr>
      </w:pPr>
    </w:p>
    <w:p w:rsidR="00DD38C0" w:rsidRDefault="00DD38C0" w:rsidP="00DD38C0">
      <w:pPr>
        <w:spacing w:line="236" w:lineRule="auto"/>
        <w:ind w:right="20" w:firstLine="568"/>
        <w:jc w:val="both"/>
        <w:rPr>
          <w:rFonts w:ascii="Times New Roman" w:eastAsia="Times New Roman" w:hAnsi="Times New Roman"/>
          <w:sz w:val="28"/>
          <w:lang w:val="uk-UA"/>
        </w:rPr>
      </w:pPr>
    </w:p>
    <w:p w:rsidR="00DD38C0" w:rsidRDefault="00DD38C0" w:rsidP="00DD38C0">
      <w:pPr>
        <w:spacing w:line="236" w:lineRule="auto"/>
        <w:ind w:right="20" w:firstLine="568"/>
        <w:jc w:val="both"/>
        <w:rPr>
          <w:rFonts w:ascii="Times New Roman" w:eastAsia="Times New Roman" w:hAnsi="Times New Roman"/>
          <w:sz w:val="28"/>
          <w:lang w:val="uk-UA"/>
        </w:rPr>
      </w:pPr>
    </w:p>
    <w:p w:rsidR="00DD38C0" w:rsidRPr="00DD38C0" w:rsidRDefault="00DD38C0" w:rsidP="00DD38C0">
      <w:pPr>
        <w:pStyle w:val="a6"/>
        <w:rPr>
          <w:rFonts w:ascii="Monotype Corsiva" w:hAnsi="Monotype Corsiva"/>
          <w:b/>
          <w:color w:val="7030A0"/>
          <w:sz w:val="28"/>
          <w:szCs w:val="28"/>
          <w:lang w:val="uk-UA"/>
        </w:rPr>
      </w:pPr>
      <w:r w:rsidRPr="00DD38C0">
        <w:rPr>
          <w:rFonts w:ascii="Monotype Corsiva" w:hAnsi="Monotype Corsiva"/>
          <w:b/>
          <w:color w:val="7030A0"/>
          <w:sz w:val="28"/>
          <w:szCs w:val="28"/>
          <w:lang w:val="uk-UA"/>
        </w:rPr>
        <w:t>Результати моніторингу готовності до школи вихованців гр. № 6</w:t>
      </w:r>
    </w:p>
    <w:p w:rsidR="00DD38C0" w:rsidRPr="00DD38C0" w:rsidRDefault="00DD38C0" w:rsidP="00DD38C0">
      <w:pPr>
        <w:pStyle w:val="a6"/>
        <w:rPr>
          <w:rFonts w:ascii="Monotype Corsiva" w:hAnsi="Monotype Corsiva"/>
          <w:b/>
          <w:color w:val="7030A0"/>
          <w:sz w:val="28"/>
          <w:szCs w:val="28"/>
          <w:lang w:val="uk-UA"/>
        </w:rPr>
      </w:pPr>
    </w:p>
    <w:p w:rsidR="00DD38C0" w:rsidRDefault="00DD38C0" w:rsidP="00DD38C0">
      <w:pPr>
        <w:tabs>
          <w:tab w:val="left" w:pos="6255"/>
        </w:tabs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:rsidR="00DD38C0" w:rsidRPr="00BE1B16" w:rsidRDefault="00DD38C0" w:rsidP="00DD38C0">
      <w:pPr>
        <w:tabs>
          <w:tab w:val="left" w:pos="6255"/>
        </w:tabs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A3A4457" wp14:editId="685C9BCA">
            <wp:extent cx="2514600" cy="1743075"/>
            <wp:effectExtent l="0" t="0" r="19050" b="9525"/>
            <wp:docPr id="30" name="Диаграмма 3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D38C0" w:rsidRDefault="00DD38C0" w:rsidP="00DD38C0">
      <w:pPr>
        <w:spacing w:line="236" w:lineRule="auto"/>
        <w:ind w:right="20" w:firstLine="568"/>
        <w:jc w:val="both"/>
        <w:rPr>
          <w:rFonts w:ascii="Times New Roman" w:eastAsia="Times New Roman" w:hAnsi="Times New Roman"/>
          <w:sz w:val="28"/>
          <w:lang w:val="uk-UA"/>
        </w:rPr>
        <w:sectPr w:rsidR="00DD38C0" w:rsidSect="00DD38C0">
          <w:type w:val="continuous"/>
          <w:pgSz w:w="11906" w:h="16838"/>
          <w:pgMar w:top="567" w:right="850" w:bottom="426" w:left="1701" w:header="708" w:footer="708" w:gutter="0"/>
          <w:cols w:num="2" w:space="708"/>
          <w:docGrid w:linePitch="360"/>
        </w:sectPr>
      </w:pPr>
    </w:p>
    <w:p w:rsidR="005038D1" w:rsidRPr="00EF2C91" w:rsidRDefault="005038D1" w:rsidP="00EF2C91">
      <w:pPr>
        <w:pStyle w:val="a6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proofErr w:type="gramStart"/>
      <w:r w:rsidRPr="00EF2C91">
        <w:rPr>
          <w:rFonts w:ascii="Monotype Corsiva" w:hAnsi="Monotype Corsiva"/>
          <w:b/>
          <w:color w:val="7030A0"/>
          <w:sz w:val="28"/>
          <w:szCs w:val="28"/>
        </w:rPr>
        <w:lastRenderedPageBreak/>
        <w:t>Р</w:t>
      </w:r>
      <w:proofErr w:type="gramEnd"/>
      <w:r w:rsidRPr="00EF2C91">
        <w:rPr>
          <w:rFonts w:ascii="Monotype Corsiva" w:hAnsi="Monotype Corsiva"/>
          <w:b/>
          <w:color w:val="7030A0"/>
          <w:sz w:val="28"/>
          <w:szCs w:val="28"/>
        </w:rPr>
        <w:t>івень засвоєння програмових вимог у дітей</w:t>
      </w:r>
    </w:p>
    <w:p w:rsidR="005038D1" w:rsidRPr="00EF2C91" w:rsidRDefault="005038D1" w:rsidP="00EF2C91">
      <w:pPr>
        <w:pStyle w:val="a6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EF2C91">
        <w:rPr>
          <w:rFonts w:ascii="Monotype Corsiva" w:hAnsi="Monotype Corsiva"/>
          <w:b/>
          <w:color w:val="7030A0"/>
          <w:sz w:val="28"/>
          <w:szCs w:val="28"/>
        </w:rPr>
        <w:t>молодших, середніх, старших груп</w:t>
      </w:r>
    </w:p>
    <w:p w:rsidR="005038D1" w:rsidRPr="00EF2C91" w:rsidRDefault="005038D1" w:rsidP="00EF2C91">
      <w:pPr>
        <w:pStyle w:val="a6"/>
        <w:jc w:val="center"/>
        <w:rPr>
          <w:rFonts w:ascii="Monotype Corsiva" w:hAnsi="Monotype Corsiva"/>
          <w:b/>
          <w:color w:val="7030A0"/>
          <w:sz w:val="28"/>
          <w:szCs w:val="28"/>
        </w:rPr>
      </w:pPr>
      <w:r w:rsidRPr="00EF2C91">
        <w:rPr>
          <w:rFonts w:ascii="Monotype Corsiva" w:hAnsi="Monotype Corsiva"/>
          <w:b/>
          <w:color w:val="7030A0"/>
          <w:sz w:val="28"/>
          <w:szCs w:val="28"/>
        </w:rPr>
        <w:t>(травень 2017 р.)</w:t>
      </w:r>
    </w:p>
    <w:p w:rsidR="005038D1" w:rsidRPr="00C730A0" w:rsidRDefault="005038D1" w:rsidP="005038D1">
      <w:pPr>
        <w:spacing w:after="0"/>
        <w:ind w:firstLine="1135"/>
        <w:jc w:val="center"/>
        <w:rPr>
          <w:b/>
          <w:sz w:val="28"/>
          <w:szCs w:val="28"/>
        </w:rPr>
      </w:pPr>
    </w:p>
    <w:p w:rsidR="005038D1" w:rsidRDefault="005038D1" w:rsidP="005038D1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43D17A96" wp14:editId="56589D0A">
            <wp:extent cx="5505450" cy="2371725"/>
            <wp:effectExtent l="0" t="0" r="0" b="0"/>
            <wp:docPr id="9" name="Диаграмма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15725" w:rsidRDefault="00D15725" w:rsidP="005038D1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D15725" w:rsidRPr="00EF2C91" w:rsidRDefault="00D15725" w:rsidP="00D15725">
      <w:pPr>
        <w:rPr>
          <w:rFonts w:ascii="Monotype Corsiva" w:hAnsi="Monotype Corsiva"/>
          <w:b/>
          <w:color w:val="7030A0"/>
          <w:sz w:val="28"/>
          <w:szCs w:val="28"/>
        </w:rPr>
      </w:pPr>
      <w:r w:rsidRPr="008272AC">
        <w:rPr>
          <w:i/>
          <w:sz w:val="32"/>
          <w:szCs w:val="32"/>
        </w:rPr>
        <w:lastRenderedPageBreak/>
        <w:t xml:space="preserve">                                       </w:t>
      </w:r>
      <w:r>
        <w:rPr>
          <w:i/>
          <w:sz w:val="32"/>
          <w:szCs w:val="32"/>
        </w:rPr>
        <w:t xml:space="preserve"> </w:t>
      </w:r>
      <w:r w:rsidRPr="00EF2C91">
        <w:rPr>
          <w:rFonts w:ascii="Monotype Corsiva" w:hAnsi="Monotype Corsiva"/>
          <w:b/>
          <w:color w:val="7030A0"/>
          <w:sz w:val="28"/>
          <w:szCs w:val="28"/>
        </w:rPr>
        <w:t xml:space="preserve">Фізичне обстеження вихованців  </w:t>
      </w:r>
    </w:p>
    <w:p w:rsidR="00D15725" w:rsidRDefault="00D15725" w:rsidP="00D15725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208D6C97" wp14:editId="6C8B9C2B">
            <wp:extent cx="5505450" cy="2581275"/>
            <wp:effectExtent l="0" t="0" r="0" b="0"/>
            <wp:docPr id="10" name="Диаграмма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038D1" w:rsidRDefault="005038D1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38D1" w:rsidRDefault="005038D1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5038D1" w:rsidRDefault="005038D1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70C67" w:rsidRDefault="00070C67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</w:p>
    <w:p w:rsidR="0008672C" w:rsidRDefault="0008672C" w:rsidP="00070C67">
      <w:pPr>
        <w:tabs>
          <w:tab w:val="left" w:pos="6255"/>
        </w:tabs>
        <w:rPr>
          <w:rFonts w:ascii="Times New Roman" w:hAnsi="Times New Roman" w:cs="Times New Roman"/>
          <w:b/>
          <w:sz w:val="32"/>
          <w:szCs w:val="32"/>
          <w:lang w:val="uk-UA"/>
        </w:rPr>
      </w:pPr>
      <w:bookmarkStart w:id="0" w:name="_GoBack"/>
      <w:bookmarkEnd w:id="0"/>
    </w:p>
    <w:sectPr w:rsidR="0008672C" w:rsidSect="00DD38C0">
      <w:type w:val="continuous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3717D"/>
    <w:multiLevelType w:val="hybridMultilevel"/>
    <w:tmpl w:val="2410E5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67BBB"/>
    <w:multiLevelType w:val="hybridMultilevel"/>
    <w:tmpl w:val="0AD6F3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CA5"/>
    <w:rsid w:val="00070C67"/>
    <w:rsid w:val="000721EB"/>
    <w:rsid w:val="0008672C"/>
    <w:rsid w:val="000A6D18"/>
    <w:rsid w:val="000C7822"/>
    <w:rsid w:val="00125408"/>
    <w:rsid w:val="001537B0"/>
    <w:rsid w:val="00154A45"/>
    <w:rsid w:val="00183BED"/>
    <w:rsid w:val="001B3EFD"/>
    <w:rsid w:val="001E3887"/>
    <w:rsid w:val="001E7D60"/>
    <w:rsid w:val="002845B2"/>
    <w:rsid w:val="002C3182"/>
    <w:rsid w:val="002C7AD5"/>
    <w:rsid w:val="002F78DE"/>
    <w:rsid w:val="00300B02"/>
    <w:rsid w:val="00351A1C"/>
    <w:rsid w:val="003F2424"/>
    <w:rsid w:val="003F64FA"/>
    <w:rsid w:val="0048259C"/>
    <w:rsid w:val="005038D1"/>
    <w:rsid w:val="005109DB"/>
    <w:rsid w:val="0052536B"/>
    <w:rsid w:val="005E6234"/>
    <w:rsid w:val="0060220B"/>
    <w:rsid w:val="00635EC3"/>
    <w:rsid w:val="00675957"/>
    <w:rsid w:val="006864AF"/>
    <w:rsid w:val="006A0A31"/>
    <w:rsid w:val="00711D1A"/>
    <w:rsid w:val="00721458"/>
    <w:rsid w:val="00726F21"/>
    <w:rsid w:val="00791CA5"/>
    <w:rsid w:val="007A2E50"/>
    <w:rsid w:val="007D21E5"/>
    <w:rsid w:val="007E766A"/>
    <w:rsid w:val="008775BD"/>
    <w:rsid w:val="00907B5F"/>
    <w:rsid w:val="0093196C"/>
    <w:rsid w:val="00963772"/>
    <w:rsid w:val="0097692B"/>
    <w:rsid w:val="009A7C79"/>
    <w:rsid w:val="009E6AF8"/>
    <w:rsid w:val="00A7775F"/>
    <w:rsid w:val="00AC3E51"/>
    <w:rsid w:val="00AF2120"/>
    <w:rsid w:val="00B165CE"/>
    <w:rsid w:val="00C072A7"/>
    <w:rsid w:val="00C9187B"/>
    <w:rsid w:val="00CD5B47"/>
    <w:rsid w:val="00CF1C50"/>
    <w:rsid w:val="00D15725"/>
    <w:rsid w:val="00D63C89"/>
    <w:rsid w:val="00D75DF8"/>
    <w:rsid w:val="00D817A3"/>
    <w:rsid w:val="00DA7F27"/>
    <w:rsid w:val="00DB5EDA"/>
    <w:rsid w:val="00DD38C0"/>
    <w:rsid w:val="00E23D1F"/>
    <w:rsid w:val="00EF2C91"/>
    <w:rsid w:val="00F061C4"/>
    <w:rsid w:val="00F0744D"/>
    <w:rsid w:val="00F378E3"/>
    <w:rsid w:val="00F60F52"/>
    <w:rsid w:val="00FD2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37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3772"/>
    <w:rPr>
      <w:b/>
      <w:bCs/>
    </w:rPr>
  </w:style>
  <w:style w:type="paragraph" w:styleId="a6">
    <w:name w:val="No Spacing"/>
    <w:link w:val="a7"/>
    <w:uiPriority w:val="1"/>
    <w:qFormat/>
    <w:rsid w:val="00DA7F27"/>
    <w:pPr>
      <w:spacing w:after="0" w:line="240" w:lineRule="auto"/>
    </w:pPr>
  </w:style>
  <w:style w:type="character" w:styleId="a8">
    <w:name w:val="Emphasis"/>
    <w:basedOn w:val="a0"/>
    <w:uiPriority w:val="20"/>
    <w:qFormat/>
    <w:rsid w:val="00726F21"/>
    <w:rPr>
      <w:i/>
      <w:iCs/>
    </w:rPr>
  </w:style>
  <w:style w:type="table" w:styleId="a9">
    <w:name w:val="Table Grid"/>
    <w:basedOn w:val="a1"/>
    <w:uiPriority w:val="59"/>
    <w:rsid w:val="0035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C7822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0C7822"/>
  </w:style>
  <w:style w:type="paragraph" w:styleId="ab">
    <w:name w:val="header"/>
    <w:basedOn w:val="a"/>
    <w:link w:val="ac"/>
    <w:uiPriority w:val="99"/>
    <w:unhideWhenUsed/>
    <w:rsid w:val="00070C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0C67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C67"/>
    <w:rPr>
      <w:rFonts w:ascii="Tahoma" w:hAnsi="Tahoma" w:cs="Tahoma"/>
      <w:sz w:val="16"/>
      <w:szCs w:val="16"/>
    </w:rPr>
  </w:style>
  <w:style w:type="paragraph" w:customStyle="1" w:styleId="abzcapt">
    <w:name w:val="abzcapt"/>
    <w:basedOn w:val="a"/>
    <w:rsid w:val="0015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ormb">
    <w:name w:val="textnormb"/>
    <w:basedOn w:val="a0"/>
    <w:rsid w:val="00153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637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7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63772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63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63772"/>
    <w:rPr>
      <w:b/>
      <w:bCs/>
    </w:rPr>
  </w:style>
  <w:style w:type="paragraph" w:styleId="a6">
    <w:name w:val="No Spacing"/>
    <w:link w:val="a7"/>
    <w:uiPriority w:val="1"/>
    <w:qFormat/>
    <w:rsid w:val="00DA7F27"/>
    <w:pPr>
      <w:spacing w:after="0" w:line="240" w:lineRule="auto"/>
    </w:pPr>
  </w:style>
  <w:style w:type="character" w:styleId="a8">
    <w:name w:val="Emphasis"/>
    <w:basedOn w:val="a0"/>
    <w:uiPriority w:val="20"/>
    <w:qFormat/>
    <w:rsid w:val="00726F21"/>
    <w:rPr>
      <w:i/>
      <w:iCs/>
    </w:rPr>
  </w:style>
  <w:style w:type="table" w:styleId="a9">
    <w:name w:val="Table Grid"/>
    <w:basedOn w:val="a1"/>
    <w:uiPriority w:val="59"/>
    <w:rsid w:val="00351A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0C7822"/>
    <w:pPr>
      <w:ind w:left="720"/>
      <w:contextualSpacing/>
    </w:pPr>
  </w:style>
  <w:style w:type="character" w:customStyle="1" w:styleId="a7">
    <w:name w:val="Без интервала Знак"/>
    <w:basedOn w:val="a0"/>
    <w:link w:val="a6"/>
    <w:uiPriority w:val="1"/>
    <w:rsid w:val="000C7822"/>
  </w:style>
  <w:style w:type="paragraph" w:styleId="ab">
    <w:name w:val="header"/>
    <w:basedOn w:val="a"/>
    <w:link w:val="ac"/>
    <w:uiPriority w:val="99"/>
    <w:unhideWhenUsed/>
    <w:rsid w:val="00070C6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070C67"/>
    <w:rPr>
      <w:rFonts w:ascii="Calibri" w:eastAsia="Calibri" w:hAnsi="Calibri" w:cs="Arial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70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70C67"/>
    <w:rPr>
      <w:rFonts w:ascii="Tahoma" w:hAnsi="Tahoma" w:cs="Tahoma"/>
      <w:sz w:val="16"/>
      <w:szCs w:val="16"/>
    </w:rPr>
  </w:style>
  <w:style w:type="paragraph" w:customStyle="1" w:styleId="abzcapt">
    <w:name w:val="abzcapt"/>
    <w:basedOn w:val="a"/>
    <w:rsid w:val="00153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normb">
    <w:name w:val="textnormb"/>
    <w:basedOn w:val="a0"/>
    <w:rsid w:val="00153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4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4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0.42</c:v>
                </c:pt>
                <c:pt idx="1">
                  <c:v>0.46</c:v>
                </c:pt>
                <c:pt idx="2">
                  <c:v>0.12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Високий </c:v>
                </c:pt>
                <c:pt idx="1">
                  <c:v>Достатній</c:v>
                </c:pt>
                <c:pt idx="2">
                  <c:v>Середній</c:v>
                </c:pt>
                <c:pt idx="3">
                  <c:v>Низький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0.3</c:v>
                </c:pt>
                <c:pt idx="1">
                  <c:v>0.41</c:v>
                </c:pt>
                <c:pt idx="2">
                  <c:v>0.28999999999999998</c:v>
                </c:pt>
                <c:pt idx="3">
                  <c:v>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 w="25401">
          <a:noFill/>
        </a:ln>
      </c:spPr>
    </c:plotArea>
    <c:plotVisOnly val="1"/>
    <c:dispBlanksAs val="zero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ІІ молодші</c:v>
                </c:pt>
                <c:pt idx="1">
                  <c:v>Середні</c:v>
                </c:pt>
                <c:pt idx="2">
                  <c:v>Старші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38</c:v>
                </c:pt>
                <c:pt idx="2">
                  <c:v>65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ІІ молодші</c:v>
                </c:pt>
                <c:pt idx="1">
                  <c:v>Середні</c:v>
                </c:pt>
                <c:pt idx="2">
                  <c:v>Старші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63</c:v>
                </c:pt>
                <c:pt idx="1">
                  <c:v>27</c:v>
                </c:pt>
                <c:pt idx="2">
                  <c:v>26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ІІ молодші</c:v>
                </c:pt>
                <c:pt idx="1">
                  <c:v>Середні</c:v>
                </c:pt>
                <c:pt idx="2">
                  <c:v>Старші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25</c:v>
                </c:pt>
                <c:pt idx="1">
                  <c:v>18</c:v>
                </c:pt>
                <c:pt idx="2">
                  <c:v>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Низький 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ІІ молодші</c:v>
                </c:pt>
                <c:pt idx="1">
                  <c:v>Середні</c:v>
                </c:pt>
                <c:pt idx="2">
                  <c:v>Старші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11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76092160"/>
        <c:axId val="76093696"/>
      </c:barChart>
      <c:catAx>
        <c:axId val="7609216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76093696"/>
        <c:crosses val="autoZero"/>
        <c:auto val="1"/>
        <c:lblAlgn val="ctr"/>
        <c:lblOffset val="100"/>
        <c:noMultiLvlLbl val="0"/>
      </c:catAx>
      <c:valAx>
        <c:axId val="760936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0921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Н.Н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ІІ молодші</c:v>
                </c:pt>
                <c:pt idx="1">
                  <c:v>Середні</c:v>
                </c:pt>
                <c:pt idx="2">
                  <c:v>Старші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</c:v>
                </c:pt>
                <c:pt idx="1">
                  <c:v>15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Норма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ІІ молодші</c:v>
                </c:pt>
                <c:pt idx="1">
                  <c:v>Середні</c:v>
                </c:pt>
                <c:pt idx="2">
                  <c:v>Старші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52</c:v>
                </c:pt>
                <c:pt idx="1">
                  <c:v>48</c:v>
                </c:pt>
                <c:pt idx="2">
                  <c:v>53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В.Н</c:v>
                </c:pt>
              </c:strCache>
            </c:strRef>
          </c:tx>
          <c:invertIfNegative val="0"/>
          <c:dLbls>
            <c:spPr>
              <a:noFill/>
              <a:ln w="25401">
                <a:noFill/>
              </a:ln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Лист1!$A$2:$A$4</c:f>
              <c:strCache>
                <c:ptCount val="3"/>
                <c:pt idx="0">
                  <c:v>ІІ молодші</c:v>
                </c:pt>
                <c:pt idx="1">
                  <c:v>Середні</c:v>
                </c:pt>
                <c:pt idx="2">
                  <c:v>Старші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39</c:v>
                </c:pt>
                <c:pt idx="1">
                  <c:v>33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6022912"/>
        <c:axId val="76024448"/>
        <c:axId val="0"/>
      </c:bar3DChart>
      <c:catAx>
        <c:axId val="760229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76024448"/>
        <c:crosses val="autoZero"/>
        <c:auto val="1"/>
        <c:lblAlgn val="ctr"/>
        <c:lblOffset val="100"/>
        <c:noMultiLvlLbl val="0"/>
      </c:catAx>
      <c:valAx>
        <c:axId val="76024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76022912"/>
        <c:crosses val="autoZero"/>
        <c:crossBetween val="between"/>
      </c:valAx>
      <c:spPr>
        <a:noFill/>
        <a:ln w="25401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5F83E9-C6CC-4C64-8F08-71614A3D1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VADIM</cp:lastModifiedBy>
  <cp:revision>2</cp:revision>
  <dcterms:created xsi:type="dcterms:W3CDTF">2017-11-14T16:27:00Z</dcterms:created>
  <dcterms:modified xsi:type="dcterms:W3CDTF">2017-11-14T16:27:00Z</dcterms:modified>
</cp:coreProperties>
</file>